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b/>
          <w:i w:val="0"/>
          <w:color w:val="1B2416"/>
          <w:sz w:val="44"/>
        </w:rPr>
        <w:t>Share, Not Soil Alone</w:t>
      </w:r>
    </w:p>
    <w:p>
      <w:pPr>
        <w:spacing w:after="40"/>
        <w:jc w:val="center"/>
      </w:pPr>
      <w:r>
        <w:rPr>
          <w:rFonts w:ascii="Times New Roman" w:hAnsi="Times New Roman"/>
          <w:b w:val="0"/>
          <w:i/>
          <w:color w:val="8A7344"/>
          <w:sz w:val="22"/>
        </w:rPr>
        <w:t>Article II  ·  Section 1  ·  Clause 5</w:t>
      </w:r>
    </w:p>
    <w:p>
      <w:pPr>
        <w:spacing w:after="280"/>
        <w:ind w:firstLine="0"/>
        <w:jc w:val="center"/>
      </w:pPr>
      <w:r>
        <w:rPr>
          <w:rFonts w:ascii="Times New Roman" w:hAnsi="Times New Roman"/>
          <w:b w:val="0"/>
          <w:i/>
          <w:color w:val="1B2416"/>
          <w:sz w:val="24"/>
        </w:rPr>
        <w:t>What “natural born Citizen” was doing — true ground, from rooms we already sat in.</w:t>
      </w:r>
    </w:p>
    <w:p>
      <w:pPr>
        <w:spacing w:after="240"/>
        <w:ind w:firstLine="0"/>
        <w:jc w:val="center"/>
      </w:pPr>
      <w:r>
        <w:rPr>
          <w:rFonts w:ascii="Times New Roman" w:hAnsi="Times New Roman"/>
          <w:b w:val="0"/>
          <w:i/>
          <w:color w:val="1B2416"/>
          <w:sz w:val="22"/>
        </w:rPr>
        <w:t>In memory of Mario Apuzzo — counsel, friend, the man who lived the distinction</w:t>
      </w:r>
    </w:p>
    <w:p>
      <w:pPr>
        <w:spacing w:after="160"/>
      </w:pPr>
      <w:r>
        <w:rPr>
          <w:rFonts w:ascii="Times New Roman" w:hAnsi="Times New Roman"/>
          <w:b w:val="0"/>
          <w:i/>
          <w:color w:val="1B2416"/>
          <w:sz w:val="24"/>
        </w:rPr>
        <w:t xml:space="preserve">Mountain P. Goat — </w:t>
      </w:r>
      <w:r>
        <w:rPr>
          <w:rFonts w:ascii="Times New Roman" w:hAnsi="Times New Roman"/>
          <w:b w:val="0"/>
          <w:i w:val="0"/>
          <w:color w:val="1B2416"/>
          <w:sz w:val="24"/>
        </w:rPr>
        <w:t>this is the apex of the talks we used to have, written for a new generation who will soon ponder the same questions we tried to articulate. Mario sat in those rooms with us. He came to the United States as a boy, took the oath, and was proud that his son was born already holding the share, because the children came after the father was an owner. That is the whole distinction, lived instead of argued. Said in new words so the echoes from those rooms are not lost.</w:t>
      </w:r>
    </w:p>
    <w:p>
      <w:pPr>
        <w:spacing w:after="80"/>
        <w:jc w:val="right"/>
      </w:pPr>
      <w:r>
        <w:rPr>
          <w:rFonts w:ascii="Times New Roman" w:hAnsi="Times New Roman"/>
          <w:b w:val="0"/>
          <w:i/>
          <w:color w:val="1B2416"/>
          <w:sz w:val="24"/>
        </w:rPr>
        <w:t>“Teo” T Bear</w:t>
      </w:r>
    </w:p>
    <w:p>
      <w:pPr>
        <w:spacing w:after="280"/>
        <w:jc w:val="center"/>
      </w:pPr>
      <w:r>
        <w:rPr>
          <w:rFonts w:ascii="Times New Roman" w:hAnsi="Times New Roman"/>
          <w:b w:val="0"/>
          <w:i w:val="0"/>
          <w:color w:val="8A7344"/>
          <w:sz w:val="22"/>
        </w:rPr>
        <w:t>❧   ✦   ❧</w:t>
      </w:r>
    </w:p>
    <w:p>
      <w:pPr>
        <w:ind w:firstLine="360"/>
      </w:pPr>
      <w:r>
        <w:rPr>
          <w:rFonts w:ascii="Times New Roman" w:hAnsi="Times New Roman"/>
          <w:b w:val="0"/>
          <w:i w:val="0"/>
          <w:color w:val="1B2416"/>
          <w:sz w:val="24"/>
        </w:rPr>
        <w:t xml:space="preserve">The Constitution does not say that every person delivered on American dirt is a co-owner of the United States. It says that no person except a </w:t>
      </w:r>
      <w:r>
        <w:rPr>
          <w:rFonts w:ascii="Times New Roman" w:hAnsi="Times New Roman"/>
          <w:b w:val="0"/>
          <w:i/>
          <w:color w:val="1B2416"/>
          <w:sz w:val="24"/>
        </w:rPr>
        <w:t>natural born Citizen</w:t>
      </w:r>
      <w:r>
        <w:rPr>
          <w:rFonts w:ascii="Times New Roman" w:hAnsi="Times New Roman"/>
          <w:b w:val="0"/>
          <w:i w:val="0"/>
          <w:color w:val="1B2416"/>
          <w:sz w:val="24"/>
        </w:rPr>
        <w:t xml:space="preserve"> shall be eligible to the office of President. Those three words are a unit. They name an inherited share of a free and sovereign people. They do not drop free title in a crib.</w:t>
      </w:r>
    </w:p>
    <w:p>
      <w:pPr>
        <w:spacing w:before="320" w:after="160"/>
      </w:pPr>
      <w:r>
        <w:rPr>
          <w:rFonts w:ascii="Times New Roman" w:hAnsi="Times New Roman"/>
          <w:b/>
          <w:i w:val="0"/>
          <w:color w:val="1C2A1F"/>
          <w:sz w:val="28"/>
        </w:rPr>
        <w:t>The three words</w:t>
      </w:r>
    </w:p>
    <w:p>
      <w:pPr>
        <w:ind w:firstLine="360"/>
      </w:pPr>
      <w:r>
        <w:rPr>
          <w:rFonts w:ascii="Times New Roman" w:hAnsi="Times New Roman"/>
          <w:b w:val="0"/>
          <w:i w:val="0"/>
          <w:color w:val="1B2416"/>
          <w:sz w:val="24"/>
        </w:rPr>
        <w:t xml:space="preserve">In the English the Framers wrote, the modifier nearest the noun binds to it. </w:t>
      </w:r>
      <w:r>
        <w:rPr>
          <w:rFonts w:ascii="Times New Roman" w:hAnsi="Times New Roman"/>
          <w:b w:val="0"/>
          <w:i/>
          <w:color w:val="1B2416"/>
          <w:sz w:val="24"/>
        </w:rPr>
        <w:t>Born Citizen</w:t>
      </w:r>
      <w:r>
        <w:rPr>
          <w:rFonts w:ascii="Times New Roman" w:hAnsi="Times New Roman"/>
          <w:b w:val="0"/>
          <w:i w:val="0"/>
          <w:color w:val="1B2416"/>
          <w:sz w:val="24"/>
        </w:rPr>
        <w:t xml:space="preserve"> is the inner box: a member by birth, not by later grant. </w:t>
      </w:r>
      <w:r>
        <w:rPr>
          <w:rFonts w:ascii="Times New Roman" w:hAnsi="Times New Roman"/>
          <w:b w:val="0"/>
          <w:i/>
          <w:color w:val="1B2416"/>
          <w:sz w:val="24"/>
        </w:rPr>
        <w:t>Natural</w:t>
      </w:r>
      <w:r>
        <w:rPr>
          <w:rFonts w:ascii="Times New Roman" w:hAnsi="Times New Roman"/>
          <w:b w:val="0"/>
          <w:i w:val="0"/>
          <w:color w:val="1B2416"/>
          <w:sz w:val="24"/>
        </w:rPr>
        <w:t xml:space="preserve"> sits outside that box and tells you what kind of birth-membership it is: the kind that arises by nature, the way an estate passes from owner to child.</w:t>
      </w:r>
    </w:p>
    <w:p>
      <w:pPr>
        <w:ind w:firstLine="360"/>
      </w:pPr>
      <w:r>
        <w:rPr>
          <w:rFonts w:ascii="Times New Roman" w:hAnsi="Times New Roman"/>
          <w:b w:val="0"/>
          <w:i w:val="0"/>
          <w:color w:val="1B2416"/>
          <w:sz w:val="24"/>
        </w:rPr>
        <w:t xml:space="preserve">They inherited two old doors. </w:t>
      </w:r>
      <w:r>
        <w:rPr>
          <w:rFonts w:ascii="Times New Roman" w:hAnsi="Times New Roman"/>
          <w:b w:val="0"/>
          <w:i/>
          <w:color w:val="1B2416"/>
          <w:sz w:val="24"/>
        </w:rPr>
        <w:t>Jus soli</w:t>
      </w:r>
      <w:r>
        <w:rPr>
          <w:rFonts w:ascii="Times New Roman" w:hAnsi="Times New Roman"/>
          <w:b w:val="0"/>
          <w:i w:val="0"/>
          <w:color w:val="1B2416"/>
          <w:sz w:val="24"/>
        </w:rPr>
        <w:t xml:space="preserve"> is the law of the land. </w:t>
      </w:r>
      <w:r>
        <w:rPr>
          <w:rFonts w:ascii="Times New Roman" w:hAnsi="Times New Roman"/>
          <w:b w:val="0"/>
          <w:i/>
          <w:color w:val="1B2416"/>
          <w:sz w:val="24"/>
        </w:rPr>
        <w:t>Jus sanguinis</w:t>
      </w:r>
      <w:r>
        <w:rPr>
          <w:rFonts w:ascii="Times New Roman" w:hAnsi="Times New Roman"/>
          <w:b w:val="0"/>
          <w:i w:val="0"/>
          <w:color w:val="1B2416"/>
          <w:sz w:val="24"/>
        </w:rPr>
        <w:t xml:space="preserve"> is the law of the blood. England used both. Blackstone taught that a natural-born </w:t>
      </w:r>
      <w:r>
        <w:rPr>
          <w:rFonts w:ascii="Times New Roman" w:hAnsi="Times New Roman"/>
          <w:b w:val="0"/>
          <w:i/>
          <w:color w:val="1B2416"/>
          <w:sz w:val="24"/>
        </w:rPr>
        <w:t>subject</w:t>
      </w:r>
      <w:r>
        <w:rPr>
          <w:rFonts w:ascii="Times New Roman" w:hAnsi="Times New Roman"/>
          <w:b w:val="0"/>
          <w:i w:val="0"/>
          <w:color w:val="1B2416"/>
          <w:sz w:val="24"/>
        </w:rPr>
        <w:t xml:space="preserve"> was one born within the king’s ligeance, and that children of aliens born in England were generally subjects too. The Framers kept the order of the old phrase and changed the last word. Subject became Citizen. That change is the hinge.</w:t>
      </w:r>
    </w:p>
    <w:p>
      <w:pPr>
        <w:ind w:firstLine="360"/>
      </w:pPr>
      <w:r>
        <w:rPr>
          <w:rFonts w:ascii="Times New Roman" w:hAnsi="Times New Roman"/>
          <w:b w:val="0"/>
          <w:i w:val="0"/>
          <w:color w:val="1B2416"/>
          <w:sz w:val="24"/>
        </w:rPr>
        <w:t xml:space="preserve">The parchment does not write </w:t>
      </w:r>
      <w:r>
        <w:rPr>
          <w:rFonts w:ascii="Times New Roman" w:hAnsi="Times New Roman"/>
          <w:b w:val="0"/>
          <w:i/>
          <w:color w:val="1B2416"/>
          <w:sz w:val="24"/>
        </w:rPr>
        <w:t>natural-born</w:t>
      </w:r>
      <w:r>
        <w:rPr>
          <w:rFonts w:ascii="Times New Roman" w:hAnsi="Times New Roman"/>
          <w:b w:val="0"/>
          <w:i w:val="0"/>
          <w:color w:val="1B2416"/>
          <w:sz w:val="24"/>
        </w:rPr>
        <w:t>. There is no hyphen. Blackstone’s compound is a different word with a different meaning: born in the realm, a subject by soil. In the fights over the clause, men have put that hyphen back, or heard only “born on the land,” and then called the result the Constitution. They did not amend Article II. They swapped the meaning and kept the spelling. That is not construction. That is a quiet repeal of the last word. The text still says three words, and the last of them is Citizen, not subject.</w:t>
      </w:r>
    </w:p>
    <w:p>
      <w:pPr>
        <w:spacing w:before="320" w:after="160"/>
      </w:pPr>
      <w:r>
        <w:rPr>
          <w:rFonts w:ascii="Times New Roman" w:hAnsi="Times New Roman"/>
          <w:b/>
          <w:i w:val="0"/>
          <w:color w:val="1C2A1F"/>
          <w:sz w:val="28"/>
        </w:rPr>
        <w:t>Debt and share</w:t>
      </w:r>
    </w:p>
    <w:p>
      <w:pPr>
        <w:ind w:firstLine="360"/>
      </w:pPr>
      <w:r>
        <w:rPr>
          <w:rFonts w:ascii="Times New Roman" w:hAnsi="Times New Roman"/>
          <w:b w:val="0"/>
          <w:i w:val="0"/>
          <w:color w:val="1B2416"/>
          <w:sz w:val="24"/>
        </w:rPr>
        <w:t xml:space="preserve">A </w:t>
      </w:r>
      <w:r>
        <w:rPr>
          <w:rFonts w:ascii="Times New Roman" w:hAnsi="Times New Roman"/>
          <w:b w:val="0"/>
          <w:i/>
          <w:color w:val="1B2416"/>
          <w:sz w:val="24"/>
        </w:rPr>
        <w:t>subject</w:t>
      </w:r>
      <w:r>
        <w:rPr>
          <w:rFonts w:ascii="Times New Roman" w:hAnsi="Times New Roman"/>
          <w:b w:val="0"/>
          <w:i w:val="0"/>
          <w:color w:val="1B2416"/>
          <w:sz w:val="24"/>
        </w:rPr>
        <w:t xml:space="preserve"> is defined by what he owes. Born inside the allegiance, so he is bound. Protection comes down from the crown. Obedience goes up.</w:t>
      </w:r>
    </w:p>
    <w:p>
      <w:pPr>
        <w:ind w:firstLine="360"/>
      </w:pPr>
      <w:r>
        <w:rPr>
          <w:rFonts w:ascii="Times New Roman" w:hAnsi="Times New Roman"/>
          <w:b w:val="0"/>
          <w:i w:val="0"/>
          <w:color w:val="1B2416"/>
          <w:sz w:val="24"/>
        </w:rPr>
        <w:t xml:space="preserve">A </w:t>
      </w:r>
      <w:r>
        <w:rPr>
          <w:rFonts w:ascii="Times New Roman" w:hAnsi="Times New Roman"/>
          <w:b w:val="0"/>
          <w:i/>
          <w:color w:val="1B2416"/>
          <w:sz w:val="24"/>
        </w:rPr>
        <w:t>citizen</w:t>
      </w:r>
      <w:r>
        <w:rPr>
          <w:rFonts w:ascii="Times New Roman" w:hAnsi="Times New Roman"/>
          <w:b w:val="0"/>
          <w:i w:val="0"/>
          <w:color w:val="1B2416"/>
          <w:sz w:val="24"/>
        </w:rPr>
        <w:t xml:space="preserve"> is defined by what he holds. One of the owners of the political body. “We the People” is a title to a joint estate.</w:t>
      </w:r>
    </w:p>
    <w:p>
      <w:pPr>
        <w:ind w:firstLine="360"/>
      </w:pPr>
      <w:r>
        <w:rPr>
          <w:rFonts w:ascii="Times New Roman" w:hAnsi="Times New Roman"/>
          <w:b w:val="0"/>
          <w:i w:val="0"/>
          <w:color w:val="1B2416"/>
          <w:sz w:val="24"/>
        </w:rPr>
        <w:t>The first generation were British subjects who took a share. The grandfather clause in Article II is the receipt: a Citizen of the United States at the time of the Adoption may be President even though he was not born a citizen of a country that did not yet exist. After that, membership moves the way other estates move. The parent who holds a share transmits it. The child does not apply. He is born already in.</w:t>
      </w:r>
    </w:p>
    <w:p>
      <w:pPr>
        <w:ind w:firstLine="360"/>
      </w:pPr>
      <w:r>
        <w:rPr>
          <w:rFonts w:ascii="Times New Roman" w:hAnsi="Times New Roman"/>
          <w:b w:val="0"/>
          <w:i w:val="0"/>
          <w:color w:val="1B2416"/>
          <w:sz w:val="24"/>
        </w:rPr>
        <w:t>Naturalization remains open. Come, take the oath, own a piece. What the clause will not do is put a man on the starting line for command of the common estate whose own birth did not already carry the share.</w:t>
      </w:r>
    </w:p>
    <w:p>
      <w:pPr>
        <w:spacing w:before="320" w:after="160"/>
      </w:pPr>
      <w:r>
        <w:rPr>
          <w:rFonts w:ascii="Times New Roman" w:hAnsi="Times New Roman"/>
          <w:b/>
          <w:i w:val="0"/>
          <w:color w:val="1C2A1F"/>
          <w:sz w:val="28"/>
        </w:rPr>
        <w:t>Sovereignty among equals</w:t>
      </w:r>
    </w:p>
    <w:p>
      <w:pPr>
        <w:ind w:firstLine="360"/>
      </w:pPr>
      <w:r>
        <w:rPr>
          <w:rFonts w:ascii="Times New Roman" w:hAnsi="Times New Roman"/>
          <w:b w:val="0"/>
          <w:i w:val="0"/>
          <w:color w:val="1B2416"/>
          <w:sz w:val="24"/>
        </w:rPr>
        <w:t>In a monarchy the sovereign is one person. Everyone else is a subject. In the American design the sovereign is the people, and each citizen is a co-owner of that sovereignty. The share is equal. The government is not a second crown. It is the hired agent of the joint estate.</w:t>
      </w:r>
    </w:p>
    <w:p>
      <w:pPr>
        <w:ind w:firstLine="360"/>
      </w:pPr>
      <w:r>
        <w:rPr>
          <w:rFonts w:ascii="Times New Roman" w:hAnsi="Times New Roman"/>
          <w:b w:val="0"/>
          <w:i w:val="0"/>
          <w:color w:val="1B2416"/>
          <w:sz w:val="24"/>
        </w:rPr>
        <w:t>Each owes, and each receives. The citizen owes allegiance, taxes, jury service, and obedience to lawful process. The citizen receives protection, due process, the equal standing of his oath and his testimony, and a voice in how the common thing is run. Once the share is held, the books balance the same for the natural born and the naturalized. The presidency is not a higher grade of citizenship. It is one office of the common estate reserved to the child who was born already holding the share.</w:t>
      </w:r>
    </w:p>
    <w:p>
      <w:pPr>
        <w:ind w:firstLine="360"/>
      </w:pPr>
      <w:r>
        <w:rPr>
          <w:rFonts w:ascii="Times New Roman" w:hAnsi="Times New Roman"/>
          <w:b w:val="0"/>
          <w:i w:val="0"/>
          <w:color w:val="1B2416"/>
          <w:sz w:val="24"/>
        </w:rPr>
        <w:t>That is not the thing that has borrowed the name “sovereign citizen.” That movement often means a man unbound: no statute, no court, no tax, no oath that reaches him. This essay means the opposite. The citizen is sovereign because he is one of the owners, and owners are bound by the rules of the estate. The naturalized man who took the oath holds the same share. He is not a guest. He is not above the law. He is in it. People with money and office have reason to dislike that equality. They have no reason to confuse it with a man who says the law does not apply to him.</w:t>
      </w:r>
    </w:p>
    <w:p>
      <w:pPr>
        <w:ind w:firstLine="360"/>
      </w:pPr>
      <w:r>
        <w:rPr>
          <w:rFonts w:ascii="Times New Roman" w:hAnsi="Times New Roman"/>
          <w:b w:val="0"/>
          <w:i w:val="0"/>
          <w:color w:val="1B2416"/>
          <w:sz w:val="24"/>
        </w:rPr>
        <w:t>A subject petitions a crown. A citizen is already an owner of the thing being commanded. When the courts later called a challenge to that office a “generalized grievance,” they were describing the injury of a stranger. They were not describing the injury of a co-owner asking who may hold the sword. Whether a courtroom will ever hear it that way is a separate question. The political theory of this essay is that the People are not bystanders. They are the estate.</w:t>
      </w:r>
    </w:p>
    <w:p>
      <w:pPr>
        <w:spacing w:before="320" w:after="160"/>
      </w:pPr>
      <w:r>
        <w:rPr>
          <w:rFonts w:ascii="Times New Roman" w:hAnsi="Times New Roman"/>
          <w:b/>
          <w:i w:val="0"/>
          <w:color w:val="1C2A1F"/>
          <w:sz w:val="28"/>
        </w:rPr>
        <w:t>Slavery in the room</w:t>
      </w:r>
    </w:p>
    <w:p>
      <w:pPr>
        <w:spacing w:before="120" w:after="160"/>
        <w:ind w:left="576" w:right="432"/>
      </w:pPr>
      <w:r>
        <w:rPr>
          <w:rFonts w:ascii="Times New Roman" w:hAnsi="Times New Roman"/>
          <w:b w:val="0"/>
          <w:i/>
          <w:color w:val="1B2416"/>
          <w:sz w:val="24"/>
        </w:rPr>
        <w:t>Are they men? Then make them Citizens and let them vote. Are they property? Why then is no other property included?</w:t>
      </w:r>
    </w:p>
    <w:p>
      <w:pPr>
        <w:ind w:firstLine="360"/>
      </w:pPr>
      <w:r>
        <w:rPr>
          <w:rFonts w:ascii="Times New Roman" w:hAnsi="Times New Roman"/>
          <w:b w:val="0"/>
          <w:i w:val="0"/>
          <w:color w:val="1B2416"/>
          <w:sz w:val="24"/>
        </w:rPr>
        <w:t>Gouverneur Morris asked that at the Convention. There is no recorded speech that says they chose those three words in order to keep slaves out of citizenship. The presidential clause arrived late and passed without debate. What the words still do, once Citizen means share and natural means inherited share, is refuse to treat birth on the plantation as birth into ownership. Colonial law already ran on inheritance: the child’s status followed the mother. If citizenship could be reproduced only by citizens, the same logic that made the child a slave kept the child from being a natural born Citizen.</w:t>
      </w:r>
    </w:p>
    <w:p>
      <w:pPr>
        <w:ind w:firstLine="360"/>
      </w:pPr>
      <w:r>
        <w:rPr>
          <w:rFonts w:ascii="Times New Roman" w:hAnsi="Times New Roman"/>
          <w:b w:val="0"/>
          <w:i w:val="0"/>
          <w:color w:val="1B2416"/>
          <w:sz w:val="24"/>
        </w:rPr>
        <w:t>Dred Scott made that structure infamous. In 1857 the Court said a man born on American land could still be no Citizen of the United States — property, not a member. The holding was wicked because it quantified a human being as stock. Law does that: it sorts. Slave, person, citizen, alien. It does not make a soul. The country answered with war and with the Fourteenth Amendment, which is a later grant of membership, still a legal class. Article II was never that grant. It was already on the page as a gate on one office. Scott does not make the gate holy. It does prove that “born on the dirt” was never, in that century, the same sentence as Citizen.</w:t>
      </w:r>
    </w:p>
    <w:p>
      <w:pPr>
        <w:ind w:firstLine="360"/>
      </w:pPr>
      <w:r>
        <w:rPr>
          <w:rFonts w:ascii="Times New Roman" w:hAnsi="Times New Roman"/>
          <w:b w:val="0"/>
          <w:i w:val="0"/>
          <w:color w:val="1B2416"/>
          <w:sz w:val="24"/>
        </w:rPr>
        <w:t>That is not a defense of the institution. A human being is a human being. The Thirteenth Amendment killed the property claim. The Fourteenth put the later grant in writing. Article II, read in 1787, was not that grant. It was a gate on one office, built from a word that named owners, not debtors.</w:t>
      </w:r>
    </w:p>
    <w:p>
      <w:pPr>
        <w:spacing w:before="320" w:after="160"/>
      </w:pPr>
      <w:r>
        <w:rPr>
          <w:rFonts w:ascii="Times New Roman" w:hAnsi="Times New Roman"/>
          <w:b/>
          <w:i w:val="0"/>
          <w:color w:val="1C2A1F"/>
          <w:sz w:val="28"/>
        </w:rPr>
        <w:t>Jay and the sword</w:t>
      </w:r>
    </w:p>
    <w:p>
      <w:pPr>
        <w:spacing w:before="120" w:after="160"/>
        <w:ind w:left="576" w:right="432"/>
      </w:pPr>
      <w:r>
        <w:rPr>
          <w:rFonts w:ascii="Times New Roman" w:hAnsi="Times New Roman"/>
          <w:b w:val="0"/>
          <w:i/>
          <w:color w:val="1B2416"/>
          <w:sz w:val="24"/>
        </w:rPr>
        <w:t>…declare expressly that the Command in chief of the American army shall not be given to, nor devolve on, any but a natural born Citizen.</w:t>
      </w:r>
    </w:p>
    <w:p>
      <w:pPr>
        <w:ind w:firstLine="360"/>
      </w:pPr>
      <w:r>
        <w:rPr>
          <w:rFonts w:ascii="Times New Roman" w:hAnsi="Times New Roman"/>
          <w:b w:val="0"/>
          <w:i w:val="0"/>
          <w:color w:val="1B2416"/>
          <w:sz w:val="24"/>
        </w:rPr>
        <w:t>Jay was not worried about a farm wife in Lancaster. He was worried about the sword. A commander who is only soil still has a foreign house behind him. A commander who is only blood was born under another flag. The strict reading is both: born in the United States of parents who were American citizens at the time of the birth. That pairing shuts the transient door and the foreign-birth door at once. Jus soli and jus sanguinis then point at the same nation. The child’s natural allegiance is not split. Soil is not pulling one way while the father’s blood pulls another. The statute of treason still reaches any citizen who gives aid and comfort to the enemy. The older sense of the word matters most in the commander in chief: a man who betrays his own people. A foreign house can be asked to turn on this country. Asking a man to turn on the only family and friends he has ever had is a harder thing. Only the person whose first and only people was this one can be said to have had no other house to go home to.</w:t>
      </w:r>
    </w:p>
    <w:p>
      <w:pPr>
        <w:ind w:firstLine="360"/>
      </w:pPr>
      <w:r>
        <w:rPr>
          <w:rFonts w:ascii="Times New Roman" w:hAnsi="Times New Roman"/>
          <w:b w:val="0"/>
          <w:i w:val="0"/>
          <w:color w:val="1B2416"/>
          <w:sz w:val="24"/>
        </w:rPr>
        <w:t>A child delivered here to two aliens who never took the share is born on the land. England would have claimed him as a subject. A republic that distinguishes debt from ownership need not hand him the estate. He may owe local obedience while he remains. He is not born holding a portion of the United States.</w:t>
      </w:r>
    </w:p>
    <w:p>
      <w:pPr>
        <w:spacing w:before="320" w:after="160"/>
      </w:pPr>
      <w:r>
        <w:rPr>
          <w:rFonts w:ascii="Times New Roman" w:hAnsi="Times New Roman"/>
          <w:b/>
          <w:i w:val="0"/>
          <w:color w:val="1C2A1F"/>
          <w:sz w:val="28"/>
        </w:rPr>
        <w:t>1790 and the retraction of 1795</w:t>
      </w:r>
    </w:p>
    <w:p>
      <w:pPr>
        <w:ind w:firstLine="360"/>
      </w:pPr>
      <w:r>
        <w:rPr>
          <w:rFonts w:ascii="Times New Roman" w:hAnsi="Times New Roman"/>
          <w:b w:val="0"/>
          <w:i w:val="0"/>
          <w:color w:val="1B2416"/>
          <w:sz w:val="24"/>
        </w:rPr>
        <w:t xml:space="preserve">The First Congress said children of citizens born beyond sea “shall be considered as natural born Citizens.” </w:t>
      </w:r>
      <w:r>
        <w:rPr>
          <w:rFonts w:ascii="Times New Roman" w:hAnsi="Times New Roman"/>
          <w:b w:val="0"/>
          <w:i/>
          <w:color w:val="1B2416"/>
          <w:sz w:val="24"/>
        </w:rPr>
        <w:t>Considered as</w:t>
      </w:r>
      <w:r>
        <w:rPr>
          <w:rFonts w:ascii="Times New Roman" w:hAnsi="Times New Roman"/>
          <w:b w:val="0"/>
          <w:i w:val="0"/>
          <w:color w:val="1B2416"/>
          <w:sz w:val="24"/>
        </w:rPr>
        <w:t xml:space="preserve"> is grant-language, not a finding that the child already held the constitutional share.</w:t>
      </w:r>
    </w:p>
    <w:p>
      <w:pPr>
        <w:ind w:firstLine="360"/>
      </w:pPr>
      <w:r>
        <w:rPr>
          <w:rFonts w:ascii="Times New Roman" w:hAnsi="Times New Roman"/>
          <w:b w:val="0"/>
          <w:i w:val="0"/>
          <w:color w:val="1B2416"/>
          <w:sz w:val="24"/>
        </w:rPr>
        <w:t>Five years later the Naturalization Act of 1795 repealed that statute and dropped the three words. The same children were thereafter only “considered as citizens of the United States.” Congress kept the inheritance of citizenship across water and took back the title that belongs to Article II. That is as close as the early Congresses came to saying the phrase was not theirs to hand out. After 1795 the term lives in the Constitution, not in the naturalization code.</w:t>
      </w:r>
    </w:p>
    <w:p>
      <w:pPr>
        <w:ind w:firstLine="360"/>
      </w:pPr>
      <w:r>
        <w:rPr>
          <w:rFonts w:ascii="Times New Roman" w:hAnsi="Times New Roman"/>
          <w:b w:val="0"/>
          <w:i w:val="0"/>
          <w:color w:val="1B2416"/>
          <w:sz w:val="24"/>
        </w:rPr>
        <w:t>They have never amended Article II to add the children of aliens, or the children born overseas to a citizen parent. Practice and commentary have treated soil as enough. The text has not been changed. Stretching a phrase is not the same work as amending it. If the class is to include those births, the honest door is an amendment. Until then the three words still name the inherited share.</w:t>
      </w:r>
    </w:p>
    <w:p>
      <w:pPr>
        <w:spacing w:before="320" w:after="160"/>
      </w:pPr>
      <w:r>
        <w:rPr>
          <w:rFonts w:ascii="Times New Roman" w:hAnsi="Times New Roman"/>
          <w:b/>
          <w:i w:val="0"/>
          <w:color w:val="1C2A1F"/>
          <w:sz w:val="28"/>
        </w:rPr>
        <w:t>The one gate</w:t>
      </w:r>
    </w:p>
    <w:p>
      <w:pPr>
        <w:ind w:firstLine="360"/>
      </w:pPr>
      <w:r>
        <w:rPr>
          <w:rFonts w:ascii="Times New Roman" w:hAnsi="Times New Roman"/>
          <w:b w:val="0"/>
          <w:i w:val="0"/>
          <w:color w:val="1B2416"/>
          <w:sz w:val="24"/>
        </w:rPr>
        <w:t>Once a man is a citizen, the ordinary law does not weigh his birth. His testimony is not weaker. His land is not lesser. He may sit in Congress after the years the text requires. Mario understood that in his bones. The welcome is real. The books are equal.</w:t>
      </w:r>
    </w:p>
    <w:p>
      <w:pPr>
        <w:ind w:firstLine="360"/>
      </w:pPr>
      <w:r>
        <w:rPr>
          <w:rFonts w:ascii="Times New Roman" w:hAnsi="Times New Roman"/>
          <w:b w:val="0"/>
          <w:i w:val="0"/>
          <w:color w:val="1B2416"/>
          <w:sz w:val="24"/>
        </w:rPr>
        <w:t>The only constitutional exclusion that still bites is the presidency, and with it the vice presidency. That is a small gate on a large country. It is also the only gate the Framers cut into membership itself.</w:t>
      </w:r>
    </w:p>
    <w:p>
      <w:pPr>
        <w:ind w:firstLine="360"/>
      </w:pPr>
      <w:r>
        <w:rPr>
          <w:rFonts w:ascii="Times New Roman" w:hAnsi="Times New Roman"/>
          <w:b w:val="0"/>
          <w:i w:val="0"/>
          <w:color w:val="1B2416"/>
          <w:sz w:val="24"/>
        </w:rPr>
        <w:t>They got the best of both worlds by changing the noun. They kept English learning about soil and blood. They refused to let every person on the dirt become an owner by accident of the delivery room. They left the experiment open to those who will take the oath. They reserved command of the estate to the child who never had another first sovereign. Citizen was the word for a share. Natural born was the word for a share already in the child’s hand.</w:t>
      </w:r>
    </w:p>
    <w:p>
      <w:pPr>
        <w:spacing w:before="320" w:after="160"/>
      </w:pPr>
      <w:r>
        <w:rPr>
          <w:rFonts w:ascii="Times New Roman" w:hAnsi="Times New Roman"/>
          <w:b/>
          <w:i w:val="0"/>
          <w:color w:val="1C2A1F"/>
          <w:sz w:val="28"/>
        </w:rPr>
        <w:t>One voice</w:t>
      </w:r>
    </w:p>
    <w:p>
      <w:pPr>
        <w:ind w:firstLine="360"/>
      </w:pPr>
      <w:r>
        <w:rPr>
          <w:rFonts w:ascii="Times New Roman" w:hAnsi="Times New Roman"/>
          <w:b w:val="0"/>
          <w:i w:val="0"/>
          <w:color w:val="1B2416"/>
          <w:sz w:val="24"/>
        </w:rPr>
        <w:t>The Speaker of the House may be a naturalized American. So may a Justice of the Supreme Court, including the Chief Justice. The Constitution does not put the three words on those offices. That is not an oversight. The Speaker is one vote in a body. The Chief Justice is one vote of nine. Each is a voice among many. A mistake there is still checked by the rest of the house.</w:t>
      </w:r>
    </w:p>
    <w:p>
      <w:pPr>
        <w:ind w:firstLine="360"/>
      </w:pPr>
      <w:r>
        <w:rPr>
          <w:rFonts w:ascii="Times New Roman" w:hAnsi="Times New Roman"/>
          <w:b w:val="0"/>
          <w:i w:val="0"/>
          <w:color w:val="1B2416"/>
          <w:sz w:val="24"/>
        </w:rPr>
        <w:t>The President is a single voice. In peace and in war he speaks for the whole people at once. He commands the army Jay named. That is why the Framers cut the gate here and nowhere else. The immense power of the office is the reason the class is small. The American people are entitled to know why that power was reserved to a child who was born already holding the share — both doors, soil and blood, pointing at one nation.</w:t>
      </w:r>
    </w:p>
    <w:p>
      <w:pPr>
        <w:ind w:firstLine="360"/>
      </w:pPr>
      <w:r>
        <w:rPr>
          <w:rFonts w:ascii="Times New Roman" w:hAnsi="Times New Roman"/>
          <w:b w:val="0"/>
          <w:i w:val="0"/>
          <w:color w:val="1B2416"/>
          <w:sz w:val="24"/>
        </w:rPr>
        <w:t>Birth on the land, by itself, is not that class. A creature can be born in Georgia and still be only a Georgia birth. The presidential title asks for more: an inherited share of a free and sovereign people.</w:t>
      </w:r>
    </w:p>
    <w:p>
      <w:pPr>
        <w:spacing w:before="320" w:after="160"/>
      </w:pPr>
      <w:r>
        <w:rPr>
          <w:rFonts w:ascii="Times New Roman" w:hAnsi="Times New Roman"/>
          <w:b/>
          <w:i w:val="0"/>
          <w:color w:val="1C2A1F"/>
          <w:sz w:val="28"/>
        </w:rPr>
        <w:t>The two questions</w:t>
      </w:r>
    </w:p>
    <w:p>
      <w:pPr>
        <w:ind w:firstLine="360"/>
      </w:pPr>
      <w:r>
        <w:rPr>
          <w:rFonts w:ascii="Times New Roman" w:hAnsi="Times New Roman"/>
          <w:b w:val="0"/>
          <w:i w:val="0"/>
          <w:color w:val="1B2416"/>
          <w:sz w:val="24"/>
        </w:rPr>
        <w:t>The roster will change. The hinge will not. Ask only this:</w:t>
      </w:r>
    </w:p>
    <w:p>
      <w:pPr>
        <w:ind w:firstLine="360"/>
      </w:pPr>
      <w:r>
        <w:rPr>
          <w:rFonts w:ascii="Times New Roman" w:hAnsi="Times New Roman"/>
          <w:b w:val="0"/>
          <w:i w:val="0"/>
          <w:color w:val="1B2416"/>
          <w:sz w:val="24"/>
        </w:rPr>
        <w:t>Where was the child born? On the land of the United States, or under another flag?</w:t>
      </w:r>
    </w:p>
    <w:p>
      <w:pPr>
        <w:ind w:firstLine="360"/>
      </w:pPr>
      <w:r>
        <w:rPr>
          <w:rFonts w:ascii="Times New Roman" w:hAnsi="Times New Roman"/>
          <w:b w:val="0"/>
          <w:i w:val="0"/>
          <w:color w:val="1B2416"/>
          <w:sz w:val="24"/>
        </w:rPr>
        <w:t>Were the parents already owners? American citizens at the moment of the birth — not later, not by the child’s soil alone.</w:t>
      </w:r>
    </w:p>
    <w:p>
      <w:pPr>
        <w:ind w:firstLine="360"/>
      </w:pPr>
      <w:r>
        <w:rPr>
          <w:rFonts w:ascii="Times New Roman" w:hAnsi="Times New Roman"/>
          <w:b w:val="0"/>
          <w:i w:val="0"/>
          <w:color w:val="1B2416"/>
          <w:sz w:val="24"/>
        </w:rPr>
        <w:t>Both answers must be yes, or the child is a citizen only if the law later says so — welcome to the estate, not born holding the presidential share. That is the rule Goat, Mario, and Teo were trying to make a stranger able to follow.</w:t>
      </w:r>
    </w:p>
    <w:p>
      <w:pPr>
        <w:ind w:firstLine="360"/>
      </w:pPr>
      <w:r>
        <w:rPr>
          <w:rFonts w:ascii="Times New Roman" w:hAnsi="Times New Roman"/>
          <w:b w:val="0"/>
          <w:i w:val="0"/>
          <w:color w:val="1B2416"/>
          <w:sz w:val="24"/>
        </w:rPr>
        <w:t>Names now in the air are only this season’s examples. Born here without citizen parents at birth: the same pattern that has already been walked through the office and will be walked again. Born abroad with one citizen parent: the 1790 “considered as” claim that 1795 took back. The essay does not have to list them. The two questions already do.</w:t>
      </w:r>
    </w:p>
    <w:p>
      <w:pPr>
        <w:spacing w:before="360" w:after="80"/>
      </w:pPr>
      <w:r>
        <w:rPr>
          <w:rFonts w:ascii="Times New Roman" w:hAnsi="Times New Roman"/>
          <w:b w:val="0"/>
          <w:i/>
          <w:color w:val="1B2416"/>
          <w:sz w:val="22"/>
        </w:rPr>
        <w:t>This is not legal advice. But SCOTUS, feel free to use it.</w:t>
      </w:r>
    </w:p>
    <w:p>
      <w:pPr>
        <w:spacing w:after="40"/>
      </w:pPr>
      <w:r>
        <w:rPr>
          <w:rFonts w:ascii="Times New Roman" w:hAnsi="Times New Roman"/>
          <w:b w:val="0"/>
          <w:i w:val="0"/>
          <w:color w:val="1B2416"/>
          <w:sz w:val="22"/>
        </w:rPr>
        <w:t>© 2026 Theodore T. Moran   ·   teobear@naturalborncitizen.us</w:t>
      </w:r>
    </w:p>
    <w:p>
      <w:r>
        <w:rPr>
          <w:rFonts w:ascii="Times New Roman" w:hAnsi="Times New Roman"/>
          <w:b w:val="0"/>
          <w:i/>
          <w:color w:val="5C584E"/>
          <w:sz w:val="22"/>
        </w:rPr>
        <w:t>A working page from a conversation, now the same argument in this file.</w:t>
      </w:r>
    </w:p>
    <w:sectPr w:rsidR="00FC693F" w:rsidRPr="0006063C" w:rsidSect="00034616">
      <w:pgSz w:w="12240" w:h="15840"/>
      <w:pgMar w:top="1440" w:right="1584" w:bottom="1440"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83" w:lineRule="auto"/>
    </w:pPr>
    <w:rPr>
      <w:rFonts w:ascii="Times New Roman" w:hAnsi="Times New Roman" w:eastAsia="Times New Roman" w:cs="Times New Roman"/>
      <w:color w:val="1B2416"/>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